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32" w:rsidRDefault="00610BB9" w:rsidP="00B3143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Teen Brain</w:t>
      </w:r>
      <w:r w:rsidR="00B31432">
        <w:rPr>
          <w:b/>
          <w:sz w:val="24"/>
          <w:szCs w:val="24"/>
        </w:rPr>
        <w:t xml:space="preserve"> Mini Unit Debrief</w:t>
      </w:r>
    </w:p>
    <w:p w:rsidR="00B31432" w:rsidRPr="00B31432" w:rsidRDefault="0093704C" w:rsidP="00B3143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 Set 2</w:t>
      </w:r>
      <w:r w:rsidR="00B31432">
        <w:rPr>
          <w:b/>
          <w:sz w:val="24"/>
          <w:szCs w:val="24"/>
        </w:rPr>
        <w:t>:</w:t>
      </w:r>
    </w:p>
    <w:p w:rsidR="0093704C" w:rsidRPr="00803EEB" w:rsidRDefault="0093704C" w:rsidP="0093704C">
      <w:pPr>
        <w:spacing w:line="240" w:lineRule="auto"/>
      </w:pPr>
      <w:r w:rsidRPr="00803EEB">
        <w:t xml:space="preserve">How </w:t>
      </w:r>
      <w:r w:rsidR="008151DC" w:rsidRPr="00803EEB">
        <w:t xml:space="preserve">does </w:t>
      </w:r>
      <w:r w:rsidRPr="00803EEB">
        <w:t xml:space="preserve">what you just did as a learner/reader/writer </w:t>
      </w:r>
      <w:r w:rsidR="008151DC" w:rsidRPr="00803EEB">
        <w:t xml:space="preserve">compare </w:t>
      </w:r>
      <w:r w:rsidRPr="00803EEB">
        <w:t>to what your students are currently doing in argumentation?</w:t>
      </w:r>
      <w:r w:rsidR="008151DC" w:rsidRPr="00803EEB">
        <w:t xml:space="preserve"> </w:t>
      </w:r>
      <w:r w:rsidRPr="00803EEB">
        <w:t xml:space="preserve"> What</w:t>
      </w:r>
      <w:r w:rsidR="008151DC" w:rsidRPr="00803EEB">
        <w:t xml:space="preserve"> skills, practices, and knowledge</w:t>
      </w:r>
      <w:r w:rsidR="00803EEB">
        <w:t xml:space="preserve"> might</w:t>
      </w:r>
      <w:r w:rsidR="008151DC" w:rsidRPr="00803EEB">
        <w:t xml:space="preserve"> help prepare your students </w:t>
      </w:r>
      <w:r w:rsidRPr="00803EEB">
        <w:t>to do this work? What kinds</w:t>
      </w:r>
      <w:r w:rsidR="00803EEB">
        <w:t xml:space="preserve"> of things will you consider in </w:t>
      </w:r>
      <w:r w:rsidRPr="00803EEB">
        <w:t>adapting these materials for your students and your classroom?</w:t>
      </w:r>
    </w:p>
    <w:p w:rsidR="008151DC" w:rsidRDefault="008151DC" w:rsidP="0093704C">
      <w:pPr>
        <w:spacing w:line="240" w:lineRule="auto"/>
      </w:pPr>
    </w:p>
    <w:p w:rsidR="003374EC" w:rsidRPr="003B78CB" w:rsidRDefault="003B78CB">
      <w:pPr>
        <w:rPr>
          <w:color w:val="E36C0A" w:themeColor="accent6" w:themeShade="BF"/>
        </w:rPr>
      </w:pPr>
      <w:r w:rsidRPr="003B78CB">
        <w:rPr>
          <w:color w:val="E36C0A" w:themeColor="accent6" w:themeShade="BF"/>
        </w:rPr>
        <w:t xml:space="preserve">The mini-unit goes much deeper into detail. The units ‘chunks up” the project better making it easier to “digest.” </w:t>
      </w:r>
    </w:p>
    <w:p w:rsidR="003B78CB" w:rsidRPr="003B78CB" w:rsidRDefault="003B78CB">
      <w:pPr>
        <w:rPr>
          <w:color w:val="E36C0A" w:themeColor="accent6" w:themeShade="BF"/>
        </w:rPr>
      </w:pPr>
      <w:r w:rsidRPr="003B78CB">
        <w:rPr>
          <w:color w:val="E36C0A" w:themeColor="accent6" w:themeShade="BF"/>
        </w:rPr>
        <w:t>Some common language is necessary to get into this unit. Sharing skills are a must and this unit provides practice.</w:t>
      </w:r>
    </w:p>
    <w:p w:rsidR="003B78CB" w:rsidRPr="003B78CB" w:rsidRDefault="003B78CB">
      <w:pPr>
        <w:rPr>
          <w:color w:val="E36C0A" w:themeColor="accent6" w:themeShade="BF"/>
        </w:rPr>
      </w:pPr>
      <w:r w:rsidRPr="003B78CB">
        <w:rPr>
          <w:color w:val="E36C0A" w:themeColor="accent6" w:themeShade="BF"/>
        </w:rPr>
        <w:t xml:space="preserve">I would incorporate more examples. </w:t>
      </w:r>
    </w:p>
    <w:p w:rsidR="003B78CB" w:rsidRPr="003B78CB" w:rsidRDefault="003B78CB">
      <w:pPr>
        <w:rPr>
          <w:color w:val="0000FF"/>
        </w:rPr>
      </w:pPr>
      <w:r w:rsidRPr="003B78CB">
        <w:rPr>
          <w:color w:val="0000FF"/>
        </w:rPr>
        <w:t xml:space="preserve">This mini-unit helps students to think independently and utilize sources.  </w:t>
      </w:r>
    </w:p>
    <w:p w:rsidR="003B78CB" w:rsidRPr="003B78CB" w:rsidRDefault="003B78CB">
      <w:pPr>
        <w:rPr>
          <w:color w:val="0000FF"/>
        </w:rPr>
      </w:pPr>
      <w:r w:rsidRPr="003B78CB">
        <w:rPr>
          <w:color w:val="0000FF"/>
        </w:rPr>
        <w:t xml:space="preserve">Using valid sources, pulling out important information, and citing sources. </w:t>
      </w:r>
    </w:p>
    <w:p w:rsidR="003B78CB" w:rsidRPr="003B78CB" w:rsidRDefault="003B78CB">
      <w:pPr>
        <w:rPr>
          <w:color w:val="0000FF"/>
        </w:rPr>
      </w:pPr>
      <w:r w:rsidRPr="003B78CB">
        <w:rPr>
          <w:color w:val="0000FF"/>
        </w:rPr>
        <w:t xml:space="preserve">Consider—reading level, subject matter, </w:t>
      </w:r>
      <w:proofErr w:type="gramStart"/>
      <w:r w:rsidRPr="003B78CB">
        <w:rPr>
          <w:color w:val="0000FF"/>
        </w:rPr>
        <w:t>partner</w:t>
      </w:r>
      <w:proofErr w:type="gramEnd"/>
      <w:r w:rsidRPr="003B78CB">
        <w:rPr>
          <w:color w:val="0000FF"/>
        </w:rPr>
        <w:t>/group/class sharing so that students can hear/see all examples.</w:t>
      </w:r>
    </w:p>
    <w:p w:rsidR="003B78CB" w:rsidRPr="003B78CB" w:rsidRDefault="003B78CB">
      <w:pPr>
        <w:rPr>
          <w:color w:val="008000"/>
        </w:rPr>
      </w:pPr>
      <w:r w:rsidRPr="003B78CB">
        <w:rPr>
          <w:color w:val="008000"/>
        </w:rPr>
        <w:t xml:space="preserve">Mini-unit is more complex than what I’ve been doing. </w:t>
      </w:r>
    </w:p>
    <w:p w:rsidR="003B78CB" w:rsidRPr="003B78CB" w:rsidRDefault="003B78CB">
      <w:pPr>
        <w:rPr>
          <w:color w:val="008000"/>
        </w:rPr>
      </w:pPr>
      <w:r w:rsidRPr="003B78CB">
        <w:rPr>
          <w:color w:val="008000"/>
        </w:rPr>
        <w:t>Common vocabulary with “good examples” to clarify</w:t>
      </w:r>
    </w:p>
    <w:p w:rsidR="003B78CB" w:rsidRPr="003B78CB" w:rsidRDefault="003B78CB">
      <w:pPr>
        <w:rPr>
          <w:color w:val="008000"/>
        </w:rPr>
      </w:pPr>
      <w:r w:rsidRPr="003B78CB">
        <w:rPr>
          <w:color w:val="008000"/>
        </w:rPr>
        <w:t>Ability level, reading level, gender-likes of class—time constraints</w:t>
      </w:r>
    </w:p>
    <w:p w:rsidR="003B78CB" w:rsidRPr="003B78CB" w:rsidRDefault="003B78CB">
      <w:pPr>
        <w:rPr>
          <w:color w:val="FF0000"/>
        </w:rPr>
      </w:pPr>
      <w:r w:rsidRPr="003B78CB">
        <w:rPr>
          <w:color w:val="FF0000"/>
        </w:rPr>
        <w:t>I’m beginning to think most genre</w:t>
      </w:r>
      <w:r>
        <w:rPr>
          <w:color w:val="FF0000"/>
        </w:rPr>
        <w:t>s</w:t>
      </w:r>
      <w:bookmarkStart w:id="0" w:name="_GoBack"/>
      <w:bookmarkEnd w:id="0"/>
      <w:r w:rsidRPr="003B78CB">
        <w:rPr>
          <w:color w:val="FF0000"/>
        </w:rPr>
        <w:t xml:space="preserve"> can be adapted to argument writing.</w:t>
      </w:r>
    </w:p>
    <w:p w:rsidR="003B78CB" w:rsidRPr="003B78CB" w:rsidRDefault="003B78CB">
      <w:pPr>
        <w:rPr>
          <w:color w:val="FF0000"/>
        </w:rPr>
      </w:pPr>
      <w:r w:rsidRPr="003B78CB">
        <w:rPr>
          <w:color w:val="FF0000"/>
        </w:rPr>
        <w:t xml:space="preserve">Will have to work on kinds of forwarding. </w:t>
      </w:r>
    </w:p>
    <w:sectPr w:rsidR="003B78CB" w:rsidRPr="003B78CB" w:rsidSect="00D74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836B8"/>
    <w:multiLevelType w:val="hybridMultilevel"/>
    <w:tmpl w:val="FCCEFE9E"/>
    <w:lvl w:ilvl="0" w:tplc="BA2EF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040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F6E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EA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C1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825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C46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2B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AD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32"/>
    <w:rsid w:val="00067D33"/>
    <w:rsid w:val="003374EC"/>
    <w:rsid w:val="003B78CB"/>
    <w:rsid w:val="00610BB9"/>
    <w:rsid w:val="00803EEB"/>
    <w:rsid w:val="008151DC"/>
    <w:rsid w:val="0093704C"/>
    <w:rsid w:val="00B31432"/>
    <w:rsid w:val="00CB3985"/>
    <w:rsid w:val="00D7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43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43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Kohnen</dc:creator>
  <cp:lastModifiedBy>Catherine English</cp:lastModifiedBy>
  <cp:revision>2</cp:revision>
  <dcterms:created xsi:type="dcterms:W3CDTF">2014-08-06T02:45:00Z</dcterms:created>
  <dcterms:modified xsi:type="dcterms:W3CDTF">2014-08-06T02:45:00Z</dcterms:modified>
</cp:coreProperties>
</file>